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8D" w:rsidRDefault="009D1F8D" w:rsidP="009D1F8D">
      <w:pPr>
        <w:autoSpaceDE w:val="0"/>
        <w:autoSpaceDN w:val="0"/>
        <w:adjustRightInd w:val="0"/>
        <w:spacing w:line="276" w:lineRule="auto"/>
        <w:jc w:val="center"/>
        <w:rPr>
          <w:b/>
          <w:bCs/>
          <w:i/>
          <w:noProof/>
          <w:sz w:val="36"/>
          <w:szCs w:val="36"/>
          <w:lang w:val="en-GB"/>
        </w:rPr>
      </w:pPr>
      <w:r>
        <w:rPr>
          <w:noProof/>
        </w:rPr>
        <w:drawing>
          <wp:anchor distT="0" distB="0" distL="114300" distR="114300" simplePos="0" relativeHeight="251658240" behindDoc="0" locked="0" layoutInCell="1" allowOverlap="1" wp14:anchorId="54A90B64" wp14:editId="7426EAE5">
            <wp:simplePos x="0" y="0"/>
            <wp:positionH relativeFrom="column">
              <wp:posOffset>1948180</wp:posOffset>
            </wp:positionH>
            <wp:positionV relativeFrom="paragraph">
              <wp:posOffset>-194945</wp:posOffset>
            </wp:positionV>
            <wp:extent cx="1628775" cy="2921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8775" cy="292100"/>
                    </a:xfrm>
                    <a:prstGeom prst="rect">
                      <a:avLst/>
                    </a:prstGeom>
                    <a:noFill/>
                  </pic:spPr>
                </pic:pic>
              </a:graphicData>
            </a:graphic>
            <wp14:sizeRelH relativeFrom="margin">
              <wp14:pctWidth>0</wp14:pctWidth>
            </wp14:sizeRelH>
            <wp14:sizeRelV relativeFrom="margin">
              <wp14:pctHeight>0</wp14:pctHeight>
            </wp14:sizeRelV>
          </wp:anchor>
        </w:drawing>
      </w:r>
    </w:p>
    <w:p w:rsidR="009D1F8D" w:rsidRDefault="009D1F8D" w:rsidP="00D924DB">
      <w:pPr>
        <w:autoSpaceDE w:val="0"/>
        <w:autoSpaceDN w:val="0"/>
        <w:adjustRightInd w:val="0"/>
        <w:spacing w:line="276" w:lineRule="auto"/>
        <w:jc w:val="center"/>
        <w:rPr>
          <w:b/>
          <w:bCs/>
          <w:sz w:val="40"/>
          <w:szCs w:val="40"/>
          <w:lang w:val="en-GB"/>
        </w:rPr>
      </w:pPr>
      <w:r>
        <w:rPr>
          <w:b/>
          <w:bCs/>
          <w:i/>
          <w:noProof/>
          <w:sz w:val="40"/>
          <w:szCs w:val="40"/>
          <w:lang w:val="en-GB"/>
        </w:rPr>
        <w:t>Red List</w:t>
      </w:r>
      <w:r>
        <w:rPr>
          <w:b/>
          <w:bCs/>
          <w:noProof/>
          <w:sz w:val="40"/>
          <w:szCs w:val="40"/>
          <w:lang w:val="en-GB"/>
        </w:rPr>
        <w:t xml:space="preserve"> Guidelines</w:t>
      </w:r>
    </w:p>
    <w:p w:rsidR="009D1F8D" w:rsidRDefault="009D1F8D" w:rsidP="0075170F">
      <w:pPr>
        <w:autoSpaceDE w:val="0"/>
        <w:autoSpaceDN w:val="0"/>
        <w:adjustRightInd w:val="0"/>
        <w:spacing w:line="276" w:lineRule="auto"/>
        <w:jc w:val="center"/>
        <w:rPr>
          <w:b/>
          <w:bCs/>
          <w:i/>
          <w:color w:val="FF0000"/>
          <w:sz w:val="40"/>
          <w:szCs w:val="40"/>
          <w:lang w:val="en-GB"/>
        </w:rPr>
      </w:pPr>
      <w:r>
        <w:rPr>
          <w:b/>
          <w:bCs/>
          <w:i/>
          <w:color w:val="FF0000"/>
          <w:sz w:val="40"/>
          <w:szCs w:val="40"/>
          <w:lang w:val="en-GB"/>
        </w:rPr>
        <w:t xml:space="preserve">Red List of </w:t>
      </w:r>
    </w:p>
    <w:p w:rsidR="009D1F8D" w:rsidRDefault="009D1F8D" w:rsidP="009D1F8D">
      <w:pPr>
        <w:autoSpaceDE w:val="0"/>
        <w:autoSpaceDN w:val="0"/>
        <w:adjustRightInd w:val="0"/>
        <w:spacing w:line="276" w:lineRule="auto"/>
        <w:jc w:val="center"/>
        <w:rPr>
          <w:b/>
          <w:bCs/>
          <w:i/>
          <w:color w:val="FF0000"/>
          <w:sz w:val="40"/>
          <w:szCs w:val="40"/>
          <w:lang w:val="en-GB"/>
        </w:rPr>
      </w:pPr>
      <w:r>
        <w:rPr>
          <w:b/>
          <w:bCs/>
          <w:i/>
          <w:color w:val="FF0000"/>
          <w:sz w:val="40"/>
          <w:szCs w:val="40"/>
          <w:lang w:val="en-GB"/>
        </w:rPr>
        <w:t>Cultural Objects at Risk</w:t>
      </w:r>
    </w:p>
    <w:p w:rsidR="0075170F" w:rsidRDefault="0075170F" w:rsidP="009D1F8D">
      <w:pPr>
        <w:autoSpaceDE w:val="0"/>
        <w:autoSpaceDN w:val="0"/>
        <w:adjustRightInd w:val="0"/>
        <w:spacing w:line="276" w:lineRule="auto"/>
        <w:jc w:val="center"/>
        <w:rPr>
          <w:b/>
          <w:bCs/>
          <w:i/>
          <w:color w:val="FF0000"/>
          <w:sz w:val="40"/>
          <w:szCs w:val="40"/>
          <w:lang w:val="en-GB"/>
        </w:rPr>
      </w:pPr>
      <w:r>
        <w:rPr>
          <w:b/>
          <w:bCs/>
          <w:i/>
          <w:color w:val="FF0000"/>
          <w:sz w:val="40"/>
          <w:szCs w:val="40"/>
          <w:lang w:val="en-GB"/>
        </w:rPr>
        <w:t>South-Eastern Europe</w:t>
      </w:r>
    </w:p>
    <w:p w:rsidR="009D1F8D" w:rsidRDefault="009D1F8D" w:rsidP="009D1F8D">
      <w:pPr>
        <w:autoSpaceDE w:val="0"/>
        <w:autoSpaceDN w:val="0"/>
        <w:adjustRightInd w:val="0"/>
        <w:spacing w:line="276" w:lineRule="auto"/>
        <w:jc w:val="center"/>
        <w:rPr>
          <w:b/>
          <w:bCs/>
          <w:sz w:val="32"/>
          <w:szCs w:val="32"/>
          <w:lang w:val="en-GB"/>
        </w:rPr>
      </w:pPr>
    </w:p>
    <w:p w:rsidR="009D1F8D" w:rsidRDefault="009D1F8D" w:rsidP="009D1F8D">
      <w:pPr>
        <w:spacing w:line="276" w:lineRule="auto"/>
        <w:jc w:val="both"/>
        <w:rPr>
          <w:lang w:val="en-GB"/>
        </w:rPr>
      </w:pPr>
    </w:p>
    <w:p w:rsidR="009D1F8D" w:rsidRDefault="009D1F8D" w:rsidP="009D1F8D">
      <w:pPr>
        <w:spacing w:line="276" w:lineRule="auto"/>
        <w:jc w:val="both"/>
        <w:rPr>
          <w:lang w:val="en-GB"/>
        </w:rPr>
      </w:pPr>
      <w:r>
        <w:rPr>
          <w:lang w:val="en-GB"/>
        </w:rPr>
        <w:t>A Red List is a list of types of cultural goods that are susceptible to being stolen or looted. The List does not represent actual stolen objects, but rather the types of objects that are or may be of interest in the illicit markets of stolen goods.</w:t>
      </w:r>
    </w:p>
    <w:p w:rsidR="009D1F8D" w:rsidRDefault="009D1F8D" w:rsidP="009D1F8D">
      <w:pPr>
        <w:spacing w:line="276" w:lineRule="auto"/>
        <w:jc w:val="both"/>
        <w:rPr>
          <w:lang w:val="en-GB"/>
        </w:rPr>
      </w:pPr>
    </w:p>
    <w:p w:rsidR="009D1F8D" w:rsidRDefault="00DD58B8" w:rsidP="00630126">
      <w:pPr>
        <w:spacing w:line="276" w:lineRule="auto"/>
        <w:jc w:val="both"/>
        <w:rPr>
          <w:lang w:val="en-GB"/>
        </w:rPr>
      </w:pPr>
      <w:r>
        <w:rPr>
          <w:lang w:val="en-GB"/>
        </w:rPr>
        <w:t>The</w:t>
      </w:r>
      <w:r w:rsidR="00630126">
        <w:rPr>
          <w:lang w:val="en-GB"/>
        </w:rPr>
        <w:t xml:space="preserve"> </w:t>
      </w:r>
      <w:r w:rsidR="009D1F8D">
        <w:rPr>
          <w:i/>
          <w:lang w:val="en-GB"/>
        </w:rPr>
        <w:t>Red List of Cultural Objects at Risk</w:t>
      </w:r>
      <w:r w:rsidR="00957F04">
        <w:rPr>
          <w:i/>
          <w:lang w:val="en-GB"/>
        </w:rPr>
        <w:t xml:space="preserve"> - South-Eastern Europe</w:t>
      </w:r>
      <w:r w:rsidR="009D1F8D">
        <w:rPr>
          <w:i/>
          <w:lang w:val="en-GB"/>
        </w:rPr>
        <w:t xml:space="preserve"> </w:t>
      </w:r>
      <w:r w:rsidR="009D1F8D">
        <w:rPr>
          <w:lang w:val="en-GB"/>
        </w:rPr>
        <w:t xml:space="preserve">will be composed of approximately 40 objects illustrating </w:t>
      </w:r>
      <w:r w:rsidR="00630126">
        <w:rPr>
          <w:lang w:val="en-GB"/>
        </w:rPr>
        <w:t>types of objects that meet the following criteria:</w:t>
      </w:r>
    </w:p>
    <w:p w:rsidR="00630126" w:rsidRDefault="00630126" w:rsidP="00630126">
      <w:pPr>
        <w:spacing w:line="276" w:lineRule="auto"/>
        <w:jc w:val="both"/>
        <w:rPr>
          <w:lang w:val="en-GB"/>
        </w:rPr>
      </w:pPr>
    </w:p>
    <w:p w:rsidR="004B4064" w:rsidRDefault="002A434D" w:rsidP="00630126">
      <w:pPr>
        <w:numPr>
          <w:ilvl w:val="0"/>
          <w:numId w:val="3"/>
        </w:numPr>
        <w:spacing w:line="276" w:lineRule="auto"/>
        <w:jc w:val="both"/>
        <w:rPr>
          <w:lang w:val="en-US"/>
        </w:rPr>
      </w:pPr>
      <w:r w:rsidRPr="00630126">
        <w:rPr>
          <w:b/>
          <w:bCs/>
          <w:lang w:val="en-US"/>
        </w:rPr>
        <w:t>Existence of a known risk:</w:t>
      </w:r>
      <w:r w:rsidRPr="00630126">
        <w:rPr>
          <w:lang w:val="en-US"/>
        </w:rPr>
        <w:t xml:space="preserve"> the categories of objects in a Red List must be part of the heritage of a region or country where a risk has been identified.</w:t>
      </w:r>
      <w:r w:rsidR="00630126">
        <w:rPr>
          <w:lang w:val="en-US"/>
        </w:rPr>
        <w:t xml:space="preserve"> It can also be an object coming from a site that has been or is at risk of being illegally excavated.</w:t>
      </w:r>
    </w:p>
    <w:p w:rsidR="00630126" w:rsidRDefault="00630126" w:rsidP="00630126">
      <w:pPr>
        <w:spacing w:line="276" w:lineRule="auto"/>
        <w:ind w:left="720"/>
        <w:jc w:val="both"/>
        <w:rPr>
          <w:lang w:val="en-US"/>
        </w:rPr>
      </w:pPr>
    </w:p>
    <w:p w:rsidR="004B4064" w:rsidRDefault="002A434D" w:rsidP="00630126">
      <w:pPr>
        <w:numPr>
          <w:ilvl w:val="0"/>
          <w:numId w:val="3"/>
        </w:numPr>
        <w:spacing w:line="276" w:lineRule="auto"/>
        <w:jc w:val="both"/>
        <w:rPr>
          <w:lang w:val="en-US"/>
        </w:rPr>
      </w:pPr>
      <w:r w:rsidRPr="00630126">
        <w:rPr>
          <w:b/>
          <w:bCs/>
          <w:lang w:val="en-US"/>
        </w:rPr>
        <w:t>Protection by legal instruments:</w:t>
      </w:r>
      <w:r w:rsidRPr="00630126">
        <w:rPr>
          <w:lang w:val="en-US"/>
        </w:rPr>
        <w:t xml:space="preserve"> the objects included in the list must be protected by national laws.</w:t>
      </w:r>
    </w:p>
    <w:p w:rsidR="00630126" w:rsidRPr="00630126" w:rsidRDefault="00630126" w:rsidP="00630126">
      <w:pPr>
        <w:spacing w:line="276" w:lineRule="auto"/>
        <w:jc w:val="both"/>
        <w:rPr>
          <w:lang w:val="en-US"/>
        </w:rPr>
      </w:pPr>
    </w:p>
    <w:p w:rsidR="004B4064" w:rsidRPr="00630126" w:rsidRDefault="002A434D" w:rsidP="009C2BDE">
      <w:pPr>
        <w:numPr>
          <w:ilvl w:val="0"/>
          <w:numId w:val="3"/>
        </w:numPr>
        <w:spacing w:line="276" w:lineRule="auto"/>
        <w:jc w:val="both"/>
        <w:rPr>
          <w:lang w:val="en-US"/>
        </w:rPr>
      </w:pPr>
      <w:r w:rsidRPr="009C2BDE">
        <w:rPr>
          <w:b/>
          <w:bCs/>
          <w:lang w:val="en-US"/>
        </w:rPr>
        <w:t>Demand on the art market:</w:t>
      </w:r>
      <w:r w:rsidRPr="00630126">
        <w:rPr>
          <w:lang w:val="en-US"/>
        </w:rPr>
        <w:t xml:space="preserve"> </w:t>
      </w:r>
      <w:r w:rsidR="009C2BDE">
        <w:rPr>
          <w:lang w:val="en-US"/>
        </w:rPr>
        <w:t xml:space="preserve">the </w:t>
      </w:r>
      <w:r w:rsidRPr="00630126">
        <w:rPr>
          <w:lang w:val="en-US"/>
        </w:rPr>
        <w:t xml:space="preserve">objects that meet the two </w:t>
      </w:r>
      <w:r w:rsidR="009C2BDE">
        <w:rPr>
          <w:lang w:val="en-US"/>
        </w:rPr>
        <w:t xml:space="preserve">previews </w:t>
      </w:r>
      <w:r w:rsidR="009C2BDE" w:rsidRPr="00630126">
        <w:rPr>
          <w:lang w:val="en-US"/>
        </w:rPr>
        <w:t>criteria</w:t>
      </w:r>
      <w:r w:rsidRPr="00630126">
        <w:rPr>
          <w:lang w:val="en-US"/>
        </w:rPr>
        <w:t xml:space="preserve"> and are in demand on the market are included in Red Lists</w:t>
      </w:r>
    </w:p>
    <w:p w:rsidR="00630126" w:rsidRPr="00630126" w:rsidRDefault="00630126" w:rsidP="00630126">
      <w:pPr>
        <w:spacing w:line="276" w:lineRule="auto"/>
        <w:jc w:val="both"/>
        <w:rPr>
          <w:lang w:val="en-US"/>
        </w:rPr>
      </w:pPr>
    </w:p>
    <w:p w:rsidR="009D1F8D" w:rsidRDefault="009D1F8D" w:rsidP="009D1F8D">
      <w:pPr>
        <w:spacing w:line="276" w:lineRule="auto"/>
        <w:jc w:val="both"/>
        <w:rPr>
          <w:i/>
          <w:lang w:val="en-GB"/>
        </w:rPr>
      </w:pPr>
    </w:p>
    <w:p w:rsidR="009D1F8D" w:rsidRDefault="009D1F8D" w:rsidP="00286709">
      <w:pPr>
        <w:spacing w:line="276" w:lineRule="auto"/>
        <w:jc w:val="both"/>
        <w:rPr>
          <w:lang w:val="en-GB"/>
        </w:rPr>
      </w:pPr>
      <w:r>
        <w:rPr>
          <w:b/>
          <w:lang w:val="en-GB"/>
        </w:rPr>
        <w:t>Note:</w:t>
      </w:r>
      <w:r>
        <w:rPr>
          <w:lang w:val="en-GB"/>
        </w:rPr>
        <w:t xml:space="preserve"> </w:t>
      </w:r>
      <w:r w:rsidR="00286709" w:rsidRPr="00795D2D">
        <w:rPr>
          <w:rStyle w:val="apple-style-span"/>
          <w:lang w:val="en-GB"/>
        </w:rPr>
        <w:t xml:space="preserve">The cultural goods listed in the </w:t>
      </w:r>
      <w:r w:rsidR="00286709" w:rsidRPr="002A434D">
        <w:rPr>
          <w:rStyle w:val="apple-style-span"/>
          <w:iCs/>
          <w:lang w:val="en-GB"/>
        </w:rPr>
        <w:t>Red List</w:t>
      </w:r>
      <w:r w:rsidR="00286709" w:rsidRPr="00795D2D">
        <w:rPr>
          <w:rStyle w:val="apple-style-span"/>
          <w:lang w:val="en-GB"/>
        </w:rPr>
        <w:t xml:space="preserve"> are inventoried objects within the collections of recognised institutions and serve to illustrate the categories of cultural goods most vulnerable to illicit traffic</w:t>
      </w:r>
      <w:r w:rsidR="00286709">
        <w:rPr>
          <w:rStyle w:val="apple-style-span"/>
          <w:lang w:val="en-GB"/>
        </w:rPr>
        <w:t xml:space="preserve">, and </w:t>
      </w:r>
      <w:r>
        <w:rPr>
          <w:lang w:val="en-GB"/>
        </w:rPr>
        <w:t>not of actual stolen goods.</w:t>
      </w:r>
    </w:p>
    <w:p w:rsidR="002A434D" w:rsidRDefault="002A434D" w:rsidP="00286709">
      <w:pPr>
        <w:spacing w:line="276" w:lineRule="auto"/>
        <w:jc w:val="both"/>
        <w:rPr>
          <w:lang w:val="en-GB"/>
        </w:rPr>
      </w:pPr>
    </w:p>
    <w:p w:rsidR="009D1F8D" w:rsidRDefault="00DD58B8" w:rsidP="002A434D">
      <w:pPr>
        <w:spacing w:line="276" w:lineRule="auto"/>
        <w:jc w:val="both"/>
        <w:rPr>
          <w:lang w:val="en-GB"/>
        </w:rPr>
      </w:pPr>
      <w:r>
        <w:rPr>
          <w:lang w:val="en-GB"/>
        </w:rPr>
        <w:t xml:space="preserve">The objects used in the attached </w:t>
      </w:r>
      <w:r w:rsidR="002A434D">
        <w:rPr>
          <w:lang w:val="en-GB"/>
        </w:rPr>
        <w:t>preliminary Excel sheet are only to illustrate the type of objects that we think can be at risk</w:t>
      </w:r>
      <w:r>
        <w:rPr>
          <w:lang w:val="en-GB"/>
        </w:rPr>
        <w:t>. The images were taken from art market and cultural websites, as well as online databases.</w:t>
      </w:r>
    </w:p>
    <w:p w:rsidR="009D1F8D" w:rsidRDefault="009D1F8D" w:rsidP="009D1F8D">
      <w:pPr>
        <w:widowControl w:val="0"/>
        <w:spacing w:line="276" w:lineRule="auto"/>
        <w:jc w:val="both"/>
        <w:rPr>
          <w:lang w:val="en-GB"/>
        </w:rPr>
      </w:pPr>
    </w:p>
    <w:p w:rsidR="002939B7" w:rsidRDefault="002939B7" w:rsidP="00286709">
      <w:pPr>
        <w:autoSpaceDE w:val="0"/>
        <w:autoSpaceDN w:val="0"/>
        <w:adjustRightInd w:val="0"/>
        <w:spacing w:line="276" w:lineRule="auto"/>
        <w:jc w:val="both"/>
        <w:rPr>
          <w:rFonts w:cs="ArialNarrow"/>
          <w:lang w:val="en-GB" w:eastAsia="en-US"/>
        </w:rPr>
      </w:pPr>
      <w:r>
        <w:rPr>
          <w:rFonts w:cs="ArialNarrow"/>
          <w:lang w:val="en-GB" w:eastAsia="en-US"/>
        </w:rPr>
        <w:t xml:space="preserve">The Red List Editorial Committee </w:t>
      </w:r>
      <w:r w:rsidR="00904B22">
        <w:rPr>
          <w:rFonts w:cs="ArialNarrow"/>
          <w:lang w:val="en-GB" w:eastAsia="en-US"/>
        </w:rPr>
        <w:t xml:space="preserve">should include national and international </w:t>
      </w:r>
      <w:r w:rsidR="00286709">
        <w:rPr>
          <w:rFonts w:cs="ArialNarrow"/>
          <w:lang w:val="en-GB" w:eastAsia="en-US"/>
        </w:rPr>
        <w:t xml:space="preserve">experts of </w:t>
      </w:r>
      <w:r w:rsidR="00904B22">
        <w:rPr>
          <w:rFonts w:cs="ArialNarrow"/>
          <w:lang w:val="en-GB" w:eastAsia="en-US"/>
        </w:rPr>
        <w:t xml:space="preserve">South-Eastern European heritage of all historical periods (prehistoric, Roman, Hellenistic, Ottoman...) </w:t>
      </w:r>
    </w:p>
    <w:p w:rsidR="002939B7" w:rsidRDefault="002939B7" w:rsidP="009D1F8D">
      <w:pPr>
        <w:autoSpaceDE w:val="0"/>
        <w:autoSpaceDN w:val="0"/>
        <w:adjustRightInd w:val="0"/>
        <w:spacing w:line="276" w:lineRule="auto"/>
        <w:jc w:val="both"/>
        <w:rPr>
          <w:rFonts w:cs="ArialNarrow"/>
          <w:lang w:val="en-GB" w:eastAsia="en-US"/>
        </w:rPr>
      </w:pPr>
    </w:p>
    <w:p w:rsidR="009D1F8D" w:rsidRDefault="009D1F8D" w:rsidP="009D1F8D">
      <w:pPr>
        <w:autoSpaceDE w:val="0"/>
        <w:autoSpaceDN w:val="0"/>
        <w:adjustRightInd w:val="0"/>
        <w:spacing w:line="276" w:lineRule="auto"/>
        <w:jc w:val="both"/>
        <w:rPr>
          <w:rFonts w:cs="ArialNarrow"/>
          <w:lang w:val="en-GB" w:eastAsia="en-US"/>
        </w:rPr>
      </w:pPr>
      <w:r>
        <w:rPr>
          <w:rFonts w:cs="ArialNarrow"/>
          <w:lang w:val="en-GB" w:eastAsia="en-US"/>
        </w:rPr>
        <w:t>We kindly ask that all experts of the Red List Editorial Committee complete the form (Excel document) provided by ICOM, each one within their respective field of expertise, with the following data:</w:t>
      </w:r>
    </w:p>
    <w:p w:rsidR="009D1F8D" w:rsidRDefault="009D1F8D" w:rsidP="009D1F8D">
      <w:pPr>
        <w:autoSpaceDE w:val="0"/>
        <w:autoSpaceDN w:val="0"/>
        <w:adjustRightInd w:val="0"/>
        <w:spacing w:line="276" w:lineRule="auto"/>
        <w:jc w:val="both"/>
        <w:rPr>
          <w:rFonts w:cs="ArialNarrow"/>
          <w:lang w:val="en-GB" w:eastAsia="en-US"/>
        </w:rPr>
      </w:pPr>
    </w:p>
    <w:p w:rsidR="009D1F8D" w:rsidRDefault="009D1F8D" w:rsidP="00C73D29">
      <w:pPr>
        <w:numPr>
          <w:ilvl w:val="0"/>
          <w:numId w:val="1"/>
        </w:numPr>
        <w:tabs>
          <w:tab w:val="num" w:pos="540"/>
        </w:tabs>
        <w:autoSpaceDE w:val="0"/>
        <w:autoSpaceDN w:val="0"/>
        <w:adjustRightInd w:val="0"/>
        <w:spacing w:line="276" w:lineRule="auto"/>
        <w:ind w:left="540" w:hanging="180"/>
        <w:jc w:val="both"/>
        <w:rPr>
          <w:rFonts w:cs="ArialNarrow"/>
          <w:lang w:val="en-GB" w:eastAsia="en-US"/>
        </w:rPr>
      </w:pPr>
      <w:r>
        <w:rPr>
          <w:lang w:val="en-GB"/>
        </w:rPr>
        <w:lastRenderedPageBreak/>
        <w:t>Categories and sub-</w:t>
      </w:r>
      <w:r>
        <w:rPr>
          <w:rFonts w:cs="ArialNarrow"/>
          <w:lang w:val="en-GB" w:eastAsia="en-US"/>
        </w:rPr>
        <w:t>categories</w:t>
      </w:r>
      <w:r>
        <w:rPr>
          <w:lang w:val="en-GB"/>
        </w:rPr>
        <w:t xml:space="preserve"> (if applicable) of cultural objects at risk. </w:t>
      </w:r>
      <w:r w:rsidR="00C73D29">
        <w:rPr>
          <w:rFonts w:cs="ArialNarrow"/>
          <w:lang w:val="en-GB" w:eastAsia="en-US"/>
        </w:rPr>
        <w:t>We have already provided a list of proposed types of objects that we believe are possibly at risk. Experts are invited to update and upgrade that list, by removing objects that are not necessarily at risk and by adding categories and objects that are at risk.</w:t>
      </w:r>
    </w:p>
    <w:p w:rsidR="009D1F8D" w:rsidRDefault="009D1F8D" w:rsidP="009D1F8D">
      <w:pPr>
        <w:numPr>
          <w:ilvl w:val="0"/>
          <w:numId w:val="1"/>
        </w:numPr>
        <w:tabs>
          <w:tab w:val="num" w:pos="540"/>
        </w:tabs>
        <w:autoSpaceDE w:val="0"/>
        <w:autoSpaceDN w:val="0"/>
        <w:adjustRightInd w:val="0"/>
        <w:spacing w:line="276" w:lineRule="auto"/>
        <w:ind w:left="540" w:hanging="180"/>
        <w:jc w:val="both"/>
        <w:rPr>
          <w:rFonts w:cs="ArialNarrow"/>
          <w:lang w:val="en-GB" w:eastAsia="en-US"/>
        </w:rPr>
      </w:pPr>
      <w:r>
        <w:rPr>
          <w:lang w:val="en-GB" w:eastAsia="en-US"/>
        </w:rPr>
        <w:t>We ask that experts please provide, if possible, high-definition images (300 dpi) to illustrate the categories.</w:t>
      </w:r>
    </w:p>
    <w:p w:rsidR="009D1F8D" w:rsidRDefault="009D1F8D" w:rsidP="009D1F8D">
      <w:pPr>
        <w:autoSpaceDE w:val="0"/>
        <w:autoSpaceDN w:val="0"/>
        <w:adjustRightInd w:val="0"/>
        <w:spacing w:line="276" w:lineRule="auto"/>
        <w:jc w:val="both"/>
        <w:rPr>
          <w:lang w:val="en-GB" w:eastAsia="en-US"/>
        </w:rPr>
      </w:pPr>
    </w:p>
    <w:p w:rsidR="009D1F8D" w:rsidRDefault="009D1F8D" w:rsidP="009D1F8D">
      <w:pPr>
        <w:autoSpaceDE w:val="0"/>
        <w:autoSpaceDN w:val="0"/>
        <w:adjustRightInd w:val="0"/>
        <w:spacing w:line="276" w:lineRule="auto"/>
        <w:jc w:val="both"/>
        <w:rPr>
          <w:lang w:val="en-GB"/>
        </w:rPr>
      </w:pPr>
      <w:r>
        <w:rPr>
          <w:lang w:val="en-GB" w:eastAsia="en-US"/>
        </w:rPr>
        <w:t>The descriptions in the Excel form should be short (</w:t>
      </w:r>
      <w:r>
        <w:rPr>
          <w:lang w:val="en-GB"/>
        </w:rPr>
        <w:t>2-3 lines) and written in simple language</w:t>
      </w:r>
      <w:r>
        <w:rPr>
          <w:rFonts w:cs="ArialNarrow"/>
          <w:lang w:val="en-GB" w:eastAsia="en-US"/>
        </w:rPr>
        <w:t xml:space="preserve">, please keep in mind that the List should be easily understood by non-specialists (customs, police officers). The texts should </w:t>
      </w:r>
      <w:r>
        <w:rPr>
          <w:lang w:val="en-GB"/>
        </w:rPr>
        <w:t>list the major characteristics of the sub-category: material, drawings and/or inscriptions, type of object, etc.</w:t>
      </w:r>
    </w:p>
    <w:p w:rsidR="00C73D29" w:rsidRDefault="00C73D29" w:rsidP="009D1F8D">
      <w:pPr>
        <w:autoSpaceDE w:val="0"/>
        <w:autoSpaceDN w:val="0"/>
        <w:adjustRightInd w:val="0"/>
        <w:spacing w:line="276" w:lineRule="auto"/>
        <w:jc w:val="both"/>
        <w:rPr>
          <w:lang w:val="en-GB"/>
        </w:rPr>
      </w:pPr>
    </w:p>
    <w:p w:rsidR="00C73D29" w:rsidRDefault="00C73D29" w:rsidP="009D1F8D">
      <w:pPr>
        <w:autoSpaceDE w:val="0"/>
        <w:autoSpaceDN w:val="0"/>
        <w:adjustRightInd w:val="0"/>
        <w:spacing w:line="276" w:lineRule="auto"/>
        <w:jc w:val="both"/>
        <w:rPr>
          <w:rFonts w:cs="ArialNarrow"/>
          <w:lang w:val="en-GB" w:eastAsia="en-US"/>
        </w:rPr>
      </w:pPr>
      <w:r>
        <w:rPr>
          <w:lang w:val="en-GB"/>
        </w:rPr>
        <w:t>The caption and copyright notice of the objects should be as follows: object type, location, period, dimensions, copyright. (</w:t>
      </w:r>
      <w:r w:rsidR="00D924DB">
        <w:rPr>
          <w:lang w:val="en-GB"/>
        </w:rPr>
        <w:t xml:space="preserve">For example: </w:t>
      </w:r>
      <w:r w:rsidRPr="00C73D29">
        <w:rPr>
          <w:lang w:val="en-GB"/>
        </w:rPr>
        <w:t xml:space="preserve">Terracotta bottle, Inner Niger Delta, 8th – 13th c. AD, 34 cm. © </w:t>
      </w:r>
      <w:proofErr w:type="spellStart"/>
      <w:r w:rsidRPr="00C73D29">
        <w:rPr>
          <w:lang w:val="en-GB"/>
        </w:rPr>
        <w:t>Musée</w:t>
      </w:r>
      <w:proofErr w:type="spellEnd"/>
      <w:r w:rsidRPr="00C73D29">
        <w:rPr>
          <w:lang w:val="en-GB"/>
        </w:rPr>
        <w:t xml:space="preserve"> national du Mali</w:t>
      </w:r>
      <w:r>
        <w:rPr>
          <w:lang w:val="en-GB"/>
        </w:rPr>
        <w:t>)</w:t>
      </w:r>
    </w:p>
    <w:p w:rsidR="009D1F8D" w:rsidRDefault="009D1F8D" w:rsidP="009D1F8D">
      <w:pPr>
        <w:pStyle w:val="Paragraphedeliste"/>
        <w:tabs>
          <w:tab w:val="left" w:pos="540"/>
        </w:tabs>
        <w:autoSpaceDE w:val="0"/>
        <w:autoSpaceDN w:val="0"/>
        <w:adjustRightInd w:val="0"/>
        <w:spacing w:line="276" w:lineRule="auto"/>
        <w:jc w:val="both"/>
        <w:rPr>
          <w:lang w:val="en-GB"/>
        </w:rPr>
      </w:pPr>
    </w:p>
    <w:p w:rsidR="009D1F8D" w:rsidRPr="002A434D" w:rsidRDefault="009D1F8D" w:rsidP="009D1F8D">
      <w:pPr>
        <w:autoSpaceDE w:val="0"/>
        <w:autoSpaceDN w:val="0"/>
        <w:adjustRightInd w:val="0"/>
        <w:spacing w:line="276" w:lineRule="auto"/>
        <w:jc w:val="both"/>
        <w:rPr>
          <w:rFonts w:eastAsia="Times New Roman"/>
          <w:bCs/>
          <w:lang w:val="en-GB"/>
        </w:rPr>
      </w:pPr>
      <w:r w:rsidRPr="002A434D">
        <w:rPr>
          <w:rFonts w:eastAsia="Times New Roman"/>
          <w:bCs/>
          <w:lang w:val="en-GB"/>
        </w:rPr>
        <w:t>Other than categories of cultural objects at risk, illu</w:t>
      </w:r>
      <w:r w:rsidR="00C73D29" w:rsidRPr="002A434D">
        <w:rPr>
          <w:rFonts w:eastAsia="Times New Roman"/>
          <w:bCs/>
          <w:lang w:val="en-GB"/>
        </w:rPr>
        <w:t>strated with images and texts, t</w:t>
      </w:r>
      <w:r w:rsidRPr="002A434D">
        <w:rPr>
          <w:rFonts w:eastAsia="Times New Roman"/>
          <w:bCs/>
          <w:lang w:val="en-GB"/>
        </w:rPr>
        <w:t>he Red List will include the following:</w:t>
      </w:r>
    </w:p>
    <w:p w:rsidR="009D1F8D" w:rsidRPr="002A434D" w:rsidRDefault="009D1F8D" w:rsidP="009D1F8D">
      <w:pPr>
        <w:numPr>
          <w:ilvl w:val="0"/>
          <w:numId w:val="2"/>
        </w:numPr>
        <w:tabs>
          <w:tab w:val="left" w:pos="180"/>
        </w:tabs>
        <w:spacing w:after="120" w:line="276" w:lineRule="auto"/>
        <w:ind w:left="0" w:firstLine="0"/>
        <w:jc w:val="both"/>
        <w:rPr>
          <w:lang w:val="en-GB"/>
        </w:rPr>
      </w:pPr>
      <w:r w:rsidRPr="002A434D">
        <w:rPr>
          <w:lang w:val="en-GB"/>
        </w:rPr>
        <w:t>Introductory text of about 200 words.</w:t>
      </w:r>
    </w:p>
    <w:p w:rsidR="009D1F8D" w:rsidRPr="002A434D" w:rsidRDefault="009D1F8D" w:rsidP="009D1F8D">
      <w:pPr>
        <w:numPr>
          <w:ilvl w:val="0"/>
          <w:numId w:val="2"/>
        </w:numPr>
        <w:tabs>
          <w:tab w:val="left" w:pos="180"/>
        </w:tabs>
        <w:spacing w:after="120" w:line="276" w:lineRule="auto"/>
        <w:ind w:left="180" w:hanging="180"/>
        <w:jc w:val="both"/>
        <w:rPr>
          <w:lang w:val="en-GB"/>
        </w:rPr>
      </w:pPr>
      <w:r w:rsidRPr="002A434D">
        <w:rPr>
          <w:lang w:val="en-GB"/>
        </w:rPr>
        <w:t>Text about the objectives of the list (approximately 200 words).</w:t>
      </w:r>
    </w:p>
    <w:p w:rsidR="009D1F8D" w:rsidRPr="002A434D" w:rsidRDefault="00C73D29" w:rsidP="009D1F8D">
      <w:pPr>
        <w:numPr>
          <w:ilvl w:val="0"/>
          <w:numId w:val="2"/>
        </w:numPr>
        <w:tabs>
          <w:tab w:val="left" w:pos="180"/>
        </w:tabs>
        <w:spacing w:after="120" w:line="276" w:lineRule="auto"/>
        <w:ind w:left="180" w:hanging="180"/>
        <w:jc w:val="both"/>
        <w:rPr>
          <w:lang w:val="en-GB"/>
        </w:rPr>
      </w:pPr>
      <w:r w:rsidRPr="002A434D">
        <w:rPr>
          <w:lang w:val="en-GB"/>
        </w:rPr>
        <w:t xml:space="preserve">A text about the </w:t>
      </w:r>
      <w:r w:rsidR="009D1F8D" w:rsidRPr="002A434D">
        <w:rPr>
          <w:lang w:val="en-GB"/>
        </w:rPr>
        <w:t>international and national legislations and bilateral agreements on</w:t>
      </w:r>
      <w:r w:rsidRPr="002A434D">
        <w:rPr>
          <w:lang w:val="en-GB"/>
        </w:rPr>
        <w:t xml:space="preserve"> the protection of this region’s cultural</w:t>
      </w:r>
      <w:r w:rsidR="009D1F8D" w:rsidRPr="002A434D">
        <w:rPr>
          <w:lang w:val="en-GB"/>
        </w:rPr>
        <w:t xml:space="preserve"> herita</w:t>
      </w:r>
      <w:r w:rsidRPr="002A434D">
        <w:rPr>
          <w:lang w:val="en-GB"/>
        </w:rPr>
        <w:t>ge.</w:t>
      </w:r>
    </w:p>
    <w:p w:rsidR="009D1F8D" w:rsidRPr="005E2766" w:rsidRDefault="009D1F8D" w:rsidP="005E2766">
      <w:pPr>
        <w:numPr>
          <w:ilvl w:val="0"/>
          <w:numId w:val="2"/>
        </w:numPr>
        <w:tabs>
          <w:tab w:val="left" w:pos="180"/>
        </w:tabs>
        <w:spacing w:after="120" w:line="276" w:lineRule="auto"/>
        <w:ind w:left="180" w:hanging="180"/>
        <w:jc w:val="both"/>
        <w:rPr>
          <w:lang w:val="en-GB"/>
        </w:rPr>
      </w:pPr>
      <w:r w:rsidRPr="002A434D">
        <w:rPr>
          <w:lang w:val="en-GB"/>
        </w:rPr>
        <w:t xml:space="preserve">List of institutions to contact in </w:t>
      </w:r>
      <w:r w:rsidR="00C73D29" w:rsidRPr="002A434D">
        <w:rPr>
          <w:lang w:val="en-GB"/>
        </w:rPr>
        <w:t>South-East Europe</w:t>
      </w:r>
      <w:r w:rsidRPr="002A434D">
        <w:rPr>
          <w:lang w:val="en-GB"/>
        </w:rPr>
        <w:t xml:space="preserve"> in case of suspicion of illicit trafficking in objects from </w:t>
      </w:r>
      <w:r w:rsidR="00C73D29" w:rsidRPr="002A434D">
        <w:rPr>
          <w:lang w:val="en-GB"/>
        </w:rPr>
        <w:t>this region</w:t>
      </w:r>
      <w:r w:rsidRPr="002A434D">
        <w:rPr>
          <w:lang w:val="en-GB"/>
        </w:rPr>
        <w:t xml:space="preserve"> (usually the concerned authorities of the</w:t>
      </w:r>
      <w:r w:rsidR="00C73D29" w:rsidRPr="002A434D">
        <w:rPr>
          <w:lang w:val="en-GB"/>
        </w:rPr>
        <w:t xml:space="preserve"> concerned</w:t>
      </w:r>
      <w:r w:rsidRPr="002A434D">
        <w:rPr>
          <w:lang w:val="en-GB"/>
        </w:rPr>
        <w:t xml:space="preserve"> countr</w:t>
      </w:r>
      <w:r w:rsidR="00C73D29" w:rsidRPr="002A434D">
        <w:rPr>
          <w:lang w:val="en-GB"/>
        </w:rPr>
        <w:t>ies</w:t>
      </w:r>
      <w:r w:rsidRPr="002A434D">
        <w:rPr>
          <w:lang w:val="en-GB"/>
        </w:rPr>
        <w:t>).</w:t>
      </w:r>
    </w:p>
    <w:p w:rsidR="009D1F8D" w:rsidRDefault="009D1F8D" w:rsidP="009D1F8D">
      <w:pPr>
        <w:spacing w:line="276" w:lineRule="auto"/>
        <w:rPr>
          <w:lang w:val="en-GB"/>
        </w:rPr>
      </w:pPr>
    </w:p>
    <w:p w:rsidR="009D1F8D" w:rsidRDefault="009D1F8D" w:rsidP="00C73D29">
      <w:pPr>
        <w:numPr>
          <w:ilvl w:val="0"/>
          <w:numId w:val="2"/>
        </w:numPr>
        <w:tabs>
          <w:tab w:val="left" w:pos="180"/>
        </w:tabs>
        <w:spacing w:line="276" w:lineRule="auto"/>
        <w:ind w:left="180" w:hanging="180"/>
        <w:jc w:val="both"/>
        <w:rPr>
          <w:lang w:val="en-GB"/>
        </w:rPr>
      </w:pPr>
      <w:r>
        <w:rPr>
          <w:lang w:val="en-GB"/>
        </w:rPr>
        <w:t xml:space="preserve">The format will be an eight-page brochure of the same format as the </w:t>
      </w:r>
      <w:r w:rsidR="00C73D29">
        <w:rPr>
          <w:lang w:val="en-GB"/>
        </w:rPr>
        <w:t>West African</w:t>
      </w:r>
      <w:r>
        <w:rPr>
          <w:lang w:val="en-GB"/>
        </w:rPr>
        <w:t xml:space="preserve"> Red List:</w:t>
      </w:r>
    </w:p>
    <w:p w:rsidR="009D1F8D" w:rsidRDefault="00A03DC0" w:rsidP="009D1F8D">
      <w:pPr>
        <w:pStyle w:val="Paragraphedeliste"/>
        <w:autoSpaceDE w:val="0"/>
        <w:autoSpaceDN w:val="0"/>
        <w:adjustRightInd w:val="0"/>
        <w:spacing w:line="276" w:lineRule="auto"/>
        <w:ind w:left="0"/>
        <w:jc w:val="center"/>
        <w:rPr>
          <w:lang w:val="en-GB"/>
        </w:rPr>
      </w:pPr>
      <w:hyperlink r:id="rId7" w:history="1">
        <w:r w:rsidR="00C73D29" w:rsidRPr="00C30556">
          <w:rPr>
            <w:rStyle w:val="Lienhypertexte"/>
            <w:lang w:val="en-GB"/>
          </w:rPr>
          <w:t>http://icom.museum/fileadmin/user_upload/images/Redlists/West_Africa/RL_AFO_FR_PAGES.pdf</w:t>
        </w:r>
      </w:hyperlink>
    </w:p>
    <w:p w:rsidR="009D1F8D" w:rsidRDefault="009D1F8D" w:rsidP="009D1F8D">
      <w:pPr>
        <w:pStyle w:val="Paragraphedeliste"/>
        <w:autoSpaceDE w:val="0"/>
        <w:autoSpaceDN w:val="0"/>
        <w:adjustRightInd w:val="0"/>
        <w:spacing w:line="276" w:lineRule="auto"/>
        <w:ind w:left="0"/>
        <w:jc w:val="center"/>
        <w:rPr>
          <w:rFonts w:cs="ArialNarrow"/>
          <w:lang w:val="en-GB" w:eastAsia="en-US"/>
        </w:rPr>
      </w:pPr>
    </w:p>
    <w:p w:rsidR="005E2766" w:rsidRDefault="005E2766" w:rsidP="005E2766">
      <w:pPr>
        <w:pStyle w:val="Paragraphedeliste"/>
        <w:autoSpaceDE w:val="0"/>
        <w:autoSpaceDN w:val="0"/>
        <w:adjustRightInd w:val="0"/>
        <w:spacing w:line="276" w:lineRule="auto"/>
        <w:ind w:left="0"/>
        <w:rPr>
          <w:rFonts w:cs="ArialNarrow"/>
          <w:lang w:val="en-GB" w:eastAsia="en-US"/>
        </w:rPr>
      </w:pPr>
      <w:r w:rsidRPr="005E2766">
        <w:rPr>
          <w:rFonts w:cs="ArialNarrow"/>
          <w:lang w:val="en-GB" w:eastAsia="en-US"/>
        </w:rPr>
        <w:t xml:space="preserve">Unfortunately, </w:t>
      </w:r>
      <w:r>
        <w:rPr>
          <w:rFonts w:cs="ArialNarrow"/>
          <w:lang w:val="en-GB" w:eastAsia="en-US"/>
        </w:rPr>
        <w:t>the</w:t>
      </w:r>
      <w:r w:rsidRPr="005E2766">
        <w:rPr>
          <w:rFonts w:cs="ArialNarrow"/>
          <w:lang w:val="en-GB" w:eastAsia="en-US"/>
        </w:rPr>
        <w:t xml:space="preserve"> participation</w:t>
      </w:r>
      <w:r>
        <w:rPr>
          <w:rFonts w:cs="ArialNarrow"/>
          <w:lang w:val="en-GB" w:eastAsia="en-US"/>
        </w:rPr>
        <w:t xml:space="preserve"> of the expert</w:t>
      </w:r>
      <w:r w:rsidRPr="005E2766">
        <w:rPr>
          <w:rFonts w:cs="ArialNarrow"/>
          <w:lang w:val="en-GB" w:eastAsia="en-US"/>
        </w:rPr>
        <w:t xml:space="preserve"> cannot imply any kind of remuneration from ICOM. Nevertheless, should travel related to working meetings be scheduled, ICOM will take over the required expenses.</w:t>
      </w:r>
      <w:bookmarkStart w:id="0" w:name="_GoBack"/>
      <w:bookmarkEnd w:id="0"/>
    </w:p>
    <w:p w:rsidR="005E2766" w:rsidRDefault="005E2766" w:rsidP="005E2766">
      <w:pPr>
        <w:pStyle w:val="Paragraphedeliste"/>
        <w:autoSpaceDE w:val="0"/>
        <w:autoSpaceDN w:val="0"/>
        <w:adjustRightInd w:val="0"/>
        <w:spacing w:line="276" w:lineRule="auto"/>
        <w:ind w:left="0"/>
        <w:rPr>
          <w:rFonts w:cs="ArialNarrow"/>
          <w:lang w:val="en-GB" w:eastAsia="en-US"/>
        </w:rPr>
      </w:pPr>
    </w:p>
    <w:p w:rsidR="005E2766" w:rsidRDefault="005E2766" w:rsidP="005E2766">
      <w:pPr>
        <w:pStyle w:val="Paragraphedeliste"/>
        <w:autoSpaceDE w:val="0"/>
        <w:autoSpaceDN w:val="0"/>
        <w:adjustRightInd w:val="0"/>
        <w:spacing w:line="276" w:lineRule="auto"/>
        <w:ind w:left="0"/>
        <w:rPr>
          <w:rFonts w:cs="ArialNarrow"/>
          <w:lang w:val="en-GB" w:eastAsia="en-US"/>
        </w:rPr>
      </w:pPr>
    </w:p>
    <w:p w:rsidR="009D1F8D" w:rsidRDefault="002939B7" w:rsidP="009D1F8D">
      <w:pPr>
        <w:pStyle w:val="Paragraphedeliste"/>
        <w:autoSpaceDE w:val="0"/>
        <w:autoSpaceDN w:val="0"/>
        <w:adjustRightInd w:val="0"/>
        <w:spacing w:line="276" w:lineRule="auto"/>
        <w:ind w:left="0"/>
        <w:jc w:val="center"/>
        <w:rPr>
          <w:rFonts w:cs="ArialNarrow"/>
          <w:lang w:val="en-GB" w:eastAsia="en-US"/>
        </w:rPr>
      </w:pPr>
      <w:r>
        <w:rPr>
          <w:noProof/>
        </w:rPr>
        <w:drawing>
          <wp:inline distT="0" distB="0" distL="0" distR="0" wp14:anchorId="6DC207B8" wp14:editId="47AF18A7">
            <wp:extent cx="1562100" cy="126337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62100" cy="1263372"/>
                    </a:xfrm>
                    <a:prstGeom prst="rect">
                      <a:avLst/>
                    </a:prstGeom>
                  </pic:spPr>
                </pic:pic>
              </a:graphicData>
            </a:graphic>
          </wp:inline>
        </w:drawing>
      </w:r>
    </w:p>
    <w:p w:rsidR="009D1F8D" w:rsidRDefault="009D1F8D" w:rsidP="009D1F8D">
      <w:pPr>
        <w:pStyle w:val="Paragraphedeliste"/>
        <w:autoSpaceDE w:val="0"/>
        <w:autoSpaceDN w:val="0"/>
        <w:adjustRightInd w:val="0"/>
        <w:spacing w:line="276" w:lineRule="auto"/>
        <w:ind w:left="0"/>
        <w:jc w:val="center"/>
        <w:rPr>
          <w:rFonts w:cs="ArialNarrow"/>
          <w:lang w:val="en-GB" w:eastAsia="en-US"/>
        </w:rPr>
      </w:pPr>
    </w:p>
    <w:p w:rsidR="009D1F8D" w:rsidRDefault="009D1F8D" w:rsidP="009D1F8D">
      <w:pPr>
        <w:pStyle w:val="Paragraphedeliste"/>
        <w:autoSpaceDE w:val="0"/>
        <w:autoSpaceDN w:val="0"/>
        <w:adjustRightInd w:val="0"/>
        <w:spacing w:line="276" w:lineRule="auto"/>
        <w:ind w:left="0"/>
        <w:jc w:val="center"/>
        <w:rPr>
          <w:rFonts w:cs="ArialNarrow"/>
          <w:lang w:val="en-GB" w:eastAsia="en-US"/>
        </w:rPr>
      </w:pPr>
    </w:p>
    <w:p w:rsidR="00705862" w:rsidRDefault="00705862"/>
    <w:sectPr w:rsidR="00705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99C"/>
    <w:multiLevelType w:val="hybridMultilevel"/>
    <w:tmpl w:val="FBE666F0"/>
    <w:lvl w:ilvl="0" w:tplc="734ED2B6">
      <w:start w:val="1"/>
      <w:numFmt w:val="bullet"/>
      <w:lvlText w:val="•"/>
      <w:lvlJc w:val="left"/>
      <w:pPr>
        <w:tabs>
          <w:tab w:val="num" w:pos="720"/>
        </w:tabs>
        <w:ind w:left="720" w:hanging="360"/>
      </w:pPr>
      <w:rPr>
        <w:rFonts w:ascii="Arial" w:hAnsi="Arial" w:hint="default"/>
      </w:rPr>
    </w:lvl>
    <w:lvl w:ilvl="1" w:tplc="1D849E18" w:tentative="1">
      <w:start w:val="1"/>
      <w:numFmt w:val="bullet"/>
      <w:lvlText w:val="•"/>
      <w:lvlJc w:val="left"/>
      <w:pPr>
        <w:tabs>
          <w:tab w:val="num" w:pos="1440"/>
        </w:tabs>
        <w:ind w:left="1440" w:hanging="360"/>
      </w:pPr>
      <w:rPr>
        <w:rFonts w:ascii="Arial" w:hAnsi="Arial" w:hint="default"/>
      </w:rPr>
    </w:lvl>
    <w:lvl w:ilvl="2" w:tplc="9A4CFE62" w:tentative="1">
      <w:start w:val="1"/>
      <w:numFmt w:val="bullet"/>
      <w:lvlText w:val="•"/>
      <w:lvlJc w:val="left"/>
      <w:pPr>
        <w:tabs>
          <w:tab w:val="num" w:pos="2160"/>
        </w:tabs>
        <w:ind w:left="2160" w:hanging="360"/>
      </w:pPr>
      <w:rPr>
        <w:rFonts w:ascii="Arial" w:hAnsi="Arial" w:hint="default"/>
      </w:rPr>
    </w:lvl>
    <w:lvl w:ilvl="3" w:tplc="91BC5EAA" w:tentative="1">
      <w:start w:val="1"/>
      <w:numFmt w:val="bullet"/>
      <w:lvlText w:val="•"/>
      <w:lvlJc w:val="left"/>
      <w:pPr>
        <w:tabs>
          <w:tab w:val="num" w:pos="2880"/>
        </w:tabs>
        <w:ind w:left="2880" w:hanging="360"/>
      </w:pPr>
      <w:rPr>
        <w:rFonts w:ascii="Arial" w:hAnsi="Arial" w:hint="default"/>
      </w:rPr>
    </w:lvl>
    <w:lvl w:ilvl="4" w:tplc="3BFA5E72" w:tentative="1">
      <w:start w:val="1"/>
      <w:numFmt w:val="bullet"/>
      <w:lvlText w:val="•"/>
      <w:lvlJc w:val="left"/>
      <w:pPr>
        <w:tabs>
          <w:tab w:val="num" w:pos="3600"/>
        </w:tabs>
        <w:ind w:left="3600" w:hanging="360"/>
      </w:pPr>
      <w:rPr>
        <w:rFonts w:ascii="Arial" w:hAnsi="Arial" w:hint="default"/>
      </w:rPr>
    </w:lvl>
    <w:lvl w:ilvl="5" w:tplc="AB8ED2EE" w:tentative="1">
      <w:start w:val="1"/>
      <w:numFmt w:val="bullet"/>
      <w:lvlText w:val="•"/>
      <w:lvlJc w:val="left"/>
      <w:pPr>
        <w:tabs>
          <w:tab w:val="num" w:pos="4320"/>
        </w:tabs>
        <w:ind w:left="4320" w:hanging="360"/>
      </w:pPr>
      <w:rPr>
        <w:rFonts w:ascii="Arial" w:hAnsi="Arial" w:hint="default"/>
      </w:rPr>
    </w:lvl>
    <w:lvl w:ilvl="6" w:tplc="6BA6209C" w:tentative="1">
      <w:start w:val="1"/>
      <w:numFmt w:val="bullet"/>
      <w:lvlText w:val="•"/>
      <w:lvlJc w:val="left"/>
      <w:pPr>
        <w:tabs>
          <w:tab w:val="num" w:pos="5040"/>
        </w:tabs>
        <w:ind w:left="5040" w:hanging="360"/>
      </w:pPr>
      <w:rPr>
        <w:rFonts w:ascii="Arial" w:hAnsi="Arial" w:hint="default"/>
      </w:rPr>
    </w:lvl>
    <w:lvl w:ilvl="7" w:tplc="8368A6C2" w:tentative="1">
      <w:start w:val="1"/>
      <w:numFmt w:val="bullet"/>
      <w:lvlText w:val="•"/>
      <w:lvlJc w:val="left"/>
      <w:pPr>
        <w:tabs>
          <w:tab w:val="num" w:pos="5760"/>
        </w:tabs>
        <w:ind w:left="5760" w:hanging="360"/>
      </w:pPr>
      <w:rPr>
        <w:rFonts w:ascii="Arial" w:hAnsi="Arial" w:hint="default"/>
      </w:rPr>
    </w:lvl>
    <w:lvl w:ilvl="8" w:tplc="F08CDEE4" w:tentative="1">
      <w:start w:val="1"/>
      <w:numFmt w:val="bullet"/>
      <w:lvlText w:val="•"/>
      <w:lvlJc w:val="left"/>
      <w:pPr>
        <w:tabs>
          <w:tab w:val="num" w:pos="6480"/>
        </w:tabs>
        <w:ind w:left="6480" w:hanging="360"/>
      </w:pPr>
      <w:rPr>
        <w:rFonts w:ascii="Arial" w:hAnsi="Arial" w:hint="default"/>
      </w:rPr>
    </w:lvl>
  </w:abstractNum>
  <w:abstractNum w:abstractNumId="1">
    <w:nsid w:val="208D7306"/>
    <w:multiLevelType w:val="hybridMultilevel"/>
    <w:tmpl w:val="DF86D4FC"/>
    <w:lvl w:ilvl="0" w:tplc="040C0001">
      <w:start w:val="1"/>
      <w:numFmt w:val="bullet"/>
      <w:lvlText w:val=""/>
      <w:lvlJc w:val="left"/>
      <w:pPr>
        <w:tabs>
          <w:tab w:val="num" w:pos="2676"/>
        </w:tabs>
        <w:ind w:left="2676" w:hanging="360"/>
      </w:pPr>
      <w:rPr>
        <w:rFonts w:ascii="Symbol" w:hAnsi="Symbol" w:hint="default"/>
      </w:rPr>
    </w:lvl>
    <w:lvl w:ilvl="1" w:tplc="040C0003">
      <w:start w:val="1"/>
      <w:numFmt w:val="bullet"/>
      <w:lvlText w:val="o"/>
      <w:lvlJc w:val="left"/>
      <w:pPr>
        <w:tabs>
          <w:tab w:val="num" w:pos="3396"/>
        </w:tabs>
        <w:ind w:left="3396" w:hanging="360"/>
      </w:pPr>
      <w:rPr>
        <w:rFonts w:ascii="Courier New" w:hAnsi="Courier New" w:cs="Courier New" w:hint="default"/>
      </w:rPr>
    </w:lvl>
    <w:lvl w:ilvl="2" w:tplc="040C0005">
      <w:start w:val="1"/>
      <w:numFmt w:val="bullet"/>
      <w:lvlText w:val=""/>
      <w:lvlJc w:val="left"/>
      <w:pPr>
        <w:tabs>
          <w:tab w:val="num" w:pos="4116"/>
        </w:tabs>
        <w:ind w:left="4116" w:hanging="360"/>
      </w:pPr>
      <w:rPr>
        <w:rFonts w:ascii="Wingdings" w:hAnsi="Wingdings" w:hint="default"/>
      </w:rPr>
    </w:lvl>
    <w:lvl w:ilvl="3" w:tplc="040C0001">
      <w:start w:val="1"/>
      <w:numFmt w:val="bullet"/>
      <w:lvlText w:val=""/>
      <w:lvlJc w:val="left"/>
      <w:pPr>
        <w:tabs>
          <w:tab w:val="num" w:pos="4836"/>
        </w:tabs>
        <w:ind w:left="4836" w:hanging="360"/>
      </w:pPr>
      <w:rPr>
        <w:rFonts w:ascii="Symbol" w:hAnsi="Symbol" w:hint="default"/>
      </w:rPr>
    </w:lvl>
    <w:lvl w:ilvl="4" w:tplc="040C0003">
      <w:start w:val="1"/>
      <w:numFmt w:val="bullet"/>
      <w:lvlText w:val="o"/>
      <w:lvlJc w:val="left"/>
      <w:pPr>
        <w:tabs>
          <w:tab w:val="num" w:pos="5556"/>
        </w:tabs>
        <w:ind w:left="5556" w:hanging="360"/>
      </w:pPr>
      <w:rPr>
        <w:rFonts w:ascii="Courier New" w:hAnsi="Courier New" w:cs="Courier New" w:hint="default"/>
      </w:rPr>
    </w:lvl>
    <w:lvl w:ilvl="5" w:tplc="040C0005">
      <w:start w:val="1"/>
      <w:numFmt w:val="bullet"/>
      <w:lvlText w:val=""/>
      <w:lvlJc w:val="left"/>
      <w:pPr>
        <w:tabs>
          <w:tab w:val="num" w:pos="6276"/>
        </w:tabs>
        <w:ind w:left="6276" w:hanging="360"/>
      </w:pPr>
      <w:rPr>
        <w:rFonts w:ascii="Wingdings" w:hAnsi="Wingdings" w:hint="default"/>
      </w:rPr>
    </w:lvl>
    <w:lvl w:ilvl="6" w:tplc="040C0001">
      <w:start w:val="1"/>
      <w:numFmt w:val="bullet"/>
      <w:lvlText w:val=""/>
      <w:lvlJc w:val="left"/>
      <w:pPr>
        <w:tabs>
          <w:tab w:val="num" w:pos="6996"/>
        </w:tabs>
        <w:ind w:left="6996" w:hanging="360"/>
      </w:pPr>
      <w:rPr>
        <w:rFonts w:ascii="Symbol" w:hAnsi="Symbol" w:hint="default"/>
      </w:rPr>
    </w:lvl>
    <w:lvl w:ilvl="7" w:tplc="040C0003">
      <w:start w:val="1"/>
      <w:numFmt w:val="bullet"/>
      <w:lvlText w:val="o"/>
      <w:lvlJc w:val="left"/>
      <w:pPr>
        <w:tabs>
          <w:tab w:val="num" w:pos="7716"/>
        </w:tabs>
        <w:ind w:left="7716" w:hanging="360"/>
      </w:pPr>
      <w:rPr>
        <w:rFonts w:ascii="Courier New" w:hAnsi="Courier New" w:cs="Courier New" w:hint="default"/>
      </w:rPr>
    </w:lvl>
    <w:lvl w:ilvl="8" w:tplc="040C0005">
      <w:start w:val="1"/>
      <w:numFmt w:val="bullet"/>
      <w:lvlText w:val=""/>
      <w:lvlJc w:val="left"/>
      <w:pPr>
        <w:tabs>
          <w:tab w:val="num" w:pos="8436"/>
        </w:tabs>
        <w:ind w:left="8436" w:hanging="360"/>
      </w:pPr>
      <w:rPr>
        <w:rFonts w:ascii="Wingdings" w:hAnsi="Wingdings" w:hint="default"/>
      </w:rPr>
    </w:lvl>
  </w:abstractNum>
  <w:abstractNum w:abstractNumId="2">
    <w:nsid w:val="2A1816D7"/>
    <w:multiLevelType w:val="hybridMultilevel"/>
    <w:tmpl w:val="BA7826E4"/>
    <w:lvl w:ilvl="0" w:tplc="66D8D3DA">
      <w:start w:val="1"/>
      <w:numFmt w:val="bullet"/>
      <w:lvlText w:val="•"/>
      <w:lvlJc w:val="left"/>
      <w:pPr>
        <w:tabs>
          <w:tab w:val="num" w:pos="720"/>
        </w:tabs>
        <w:ind w:left="720" w:hanging="360"/>
      </w:pPr>
      <w:rPr>
        <w:rFonts w:ascii="Arial" w:hAnsi="Arial" w:hint="default"/>
      </w:rPr>
    </w:lvl>
    <w:lvl w:ilvl="1" w:tplc="F60CD88C" w:tentative="1">
      <w:start w:val="1"/>
      <w:numFmt w:val="bullet"/>
      <w:lvlText w:val="•"/>
      <w:lvlJc w:val="left"/>
      <w:pPr>
        <w:tabs>
          <w:tab w:val="num" w:pos="1440"/>
        </w:tabs>
        <w:ind w:left="1440" w:hanging="360"/>
      </w:pPr>
      <w:rPr>
        <w:rFonts w:ascii="Arial" w:hAnsi="Arial" w:hint="default"/>
      </w:rPr>
    </w:lvl>
    <w:lvl w:ilvl="2" w:tplc="2F88FBF6" w:tentative="1">
      <w:start w:val="1"/>
      <w:numFmt w:val="bullet"/>
      <w:lvlText w:val="•"/>
      <w:lvlJc w:val="left"/>
      <w:pPr>
        <w:tabs>
          <w:tab w:val="num" w:pos="2160"/>
        </w:tabs>
        <w:ind w:left="2160" w:hanging="360"/>
      </w:pPr>
      <w:rPr>
        <w:rFonts w:ascii="Arial" w:hAnsi="Arial" w:hint="default"/>
      </w:rPr>
    </w:lvl>
    <w:lvl w:ilvl="3" w:tplc="C9985664" w:tentative="1">
      <w:start w:val="1"/>
      <w:numFmt w:val="bullet"/>
      <w:lvlText w:val="•"/>
      <w:lvlJc w:val="left"/>
      <w:pPr>
        <w:tabs>
          <w:tab w:val="num" w:pos="2880"/>
        </w:tabs>
        <w:ind w:left="2880" w:hanging="360"/>
      </w:pPr>
      <w:rPr>
        <w:rFonts w:ascii="Arial" w:hAnsi="Arial" w:hint="default"/>
      </w:rPr>
    </w:lvl>
    <w:lvl w:ilvl="4" w:tplc="D2BE698E" w:tentative="1">
      <w:start w:val="1"/>
      <w:numFmt w:val="bullet"/>
      <w:lvlText w:val="•"/>
      <w:lvlJc w:val="left"/>
      <w:pPr>
        <w:tabs>
          <w:tab w:val="num" w:pos="3600"/>
        </w:tabs>
        <w:ind w:left="3600" w:hanging="360"/>
      </w:pPr>
      <w:rPr>
        <w:rFonts w:ascii="Arial" w:hAnsi="Arial" w:hint="default"/>
      </w:rPr>
    </w:lvl>
    <w:lvl w:ilvl="5" w:tplc="052846C6" w:tentative="1">
      <w:start w:val="1"/>
      <w:numFmt w:val="bullet"/>
      <w:lvlText w:val="•"/>
      <w:lvlJc w:val="left"/>
      <w:pPr>
        <w:tabs>
          <w:tab w:val="num" w:pos="4320"/>
        </w:tabs>
        <w:ind w:left="4320" w:hanging="360"/>
      </w:pPr>
      <w:rPr>
        <w:rFonts w:ascii="Arial" w:hAnsi="Arial" w:hint="default"/>
      </w:rPr>
    </w:lvl>
    <w:lvl w:ilvl="6" w:tplc="7C5439D8" w:tentative="1">
      <w:start w:val="1"/>
      <w:numFmt w:val="bullet"/>
      <w:lvlText w:val="•"/>
      <w:lvlJc w:val="left"/>
      <w:pPr>
        <w:tabs>
          <w:tab w:val="num" w:pos="5040"/>
        </w:tabs>
        <w:ind w:left="5040" w:hanging="360"/>
      </w:pPr>
      <w:rPr>
        <w:rFonts w:ascii="Arial" w:hAnsi="Arial" w:hint="default"/>
      </w:rPr>
    </w:lvl>
    <w:lvl w:ilvl="7" w:tplc="82E282E4" w:tentative="1">
      <w:start w:val="1"/>
      <w:numFmt w:val="bullet"/>
      <w:lvlText w:val="•"/>
      <w:lvlJc w:val="left"/>
      <w:pPr>
        <w:tabs>
          <w:tab w:val="num" w:pos="5760"/>
        </w:tabs>
        <w:ind w:left="5760" w:hanging="360"/>
      </w:pPr>
      <w:rPr>
        <w:rFonts w:ascii="Arial" w:hAnsi="Arial" w:hint="default"/>
      </w:rPr>
    </w:lvl>
    <w:lvl w:ilvl="8" w:tplc="E9A0638A" w:tentative="1">
      <w:start w:val="1"/>
      <w:numFmt w:val="bullet"/>
      <w:lvlText w:val="•"/>
      <w:lvlJc w:val="left"/>
      <w:pPr>
        <w:tabs>
          <w:tab w:val="num" w:pos="6480"/>
        </w:tabs>
        <w:ind w:left="6480" w:hanging="360"/>
      </w:pPr>
      <w:rPr>
        <w:rFonts w:ascii="Arial" w:hAnsi="Arial" w:hint="default"/>
      </w:rPr>
    </w:lvl>
  </w:abstractNum>
  <w:abstractNum w:abstractNumId="3">
    <w:nsid w:val="41E95367"/>
    <w:multiLevelType w:val="hybridMultilevel"/>
    <w:tmpl w:val="94EA4F04"/>
    <w:lvl w:ilvl="0" w:tplc="73447268">
      <w:numFmt w:val="bullet"/>
      <w:lvlText w:val="-"/>
      <w:lvlJc w:val="left"/>
      <w:pPr>
        <w:tabs>
          <w:tab w:val="num" w:pos="720"/>
        </w:tabs>
        <w:ind w:left="720" w:hanging="360"/>
      </w:pPr>
      <w:rPr>
        <w:rFonts w:ascii="Calibri" w:eastAsia="Calibri"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43E7B04"/>
    <w:multiLevelType w:val="hybridMultilevel"/>
    <w:tmpl w:val="1F8ED580"/>
    <w:lvl w:ilvl="0" w:tplc="3F7AA04C">
      <w:start w:val="1"/>
      <w:numFmt w:val="bullet"/>
      <w:lvlText w:val="•"/>
      <w:lvlJc w:val="left"/>
      <w:pPr>
        <w:tabs>
          <w:tab w:val="num" w:pos="720"/>
        </w:tabs>
        <w:ind w:left="720" w:hanging="360"/>
      </w:pPr>
      <w:rPr>
        <w:rFonts w:ascii="Arial" w:hAnsi="Arial" w:hint="default"/>
      </w:rPr>
    </w:lvl>
    <w:lvl w:ilvl="1" w:tplc="1D2C6F42" w:tentative="1">
      <w:start w:val="1"/>
      <w:numFmt w:val="bullet"/>
      <w:lvlText w:val="•"/>
      <w:lvlJc w:val="left"/>
      <w:pPr>
        <w:tabs>
          <w:tab w:val="num" w:pos="1440"/>
        </w:tabs>
        <w:ind w:left="1440" w:hanging="360"/>
      </w:pPr>
      <w:rPr>
        <w:rFonts w:ascii="Arial" w:hAnsi="Arial" w:hint="default"/>
      </w:rPr>
    </w:lvl>
    <w:lvl w:ilvl="2" w:tplc="AA449C66" w:tentative="1">
      <w:start w:val="1"/>
      <w:numFmt w:val="bullet"/>
      <w:lvlText w:val="•"/>
      <w:lvlJc w:val="left"/>
      <w:pPr>
        <w:tabs>
          <w:tab w:val="num" w:pos="2160"/>
        </w:tabs>
        <w:ind w:left="2160" w:hanging="360"/>
      </w:pPr>
      <w:rPr>
        <w:rFonts w:ascii="Arial" w:hAnsi="Arial" w:hint="default"/>
      </w:rPr>
    </w:lvl>
    <w:lvl w:ilvl="3" w:tplc="82C66DBE" w:tentative="1">
      <w:start w:val="1"/>
      <w:numFmt w:val="bullet"/>
      <w:lvlText w:val="•"/>
      <w:lvlJc w:val="left"/>
      <w:pPr>
        <w:tabs>
          <w:tab w:val="num" w:pos="2880"/>
        </w:tabs>
        <w:ind w:left="2880" w:hanging="360"/>
      </w:pPr>
      <w:rPr>
        <w:rFonts w:ascii="Arial" w:hAnsi="Arial" w:hint="default"/>
      </w:rPr>
    </w:lvl>
    <w:lvl w:ilvl="4" w:tplc="7716264C" w:tentative="1">
      <w:start w:val="1"/>
      <w:numFmt w:val="bullet"/>
      <w:lvlText w:val="•"/>
      <w:lvlJc w:val="left"/>
      <w:pPr>
        <w:tabs>
          <w:tab w:val="num" w:pos="3600"/>
        </w:tabs>
        <w:ind w:left="3600" w:hanging="360"/>
      </w:pPr>
      <w:rPr>
        <w:rFonts w:ascii="Arial" w:hAnsi="Arial" w:hint="default"/>
      </w:rPr>
    </w:lvl>
    <w:lvl w:ilvl="5" w:tplc="ADC630B2" w:tentative="1">
      <w:start w:val="1"/>
      <w:numFmt w:val="bullet"/>
      <w:lvlText w:val="•"/>
      <w:lvlJc w:val="left"/>
      <w:pPr>
        <w:tabs>
          <w:tab w:val="num" w:pos="4320"/>
        </w:tabs>
        <w:ind w:left="4320" w:hanging="360"/>
      </w:pPr>
      <w:rPr>
        <w:rFonts w:ascii="Arial" w:hAnsi="Arial" w:hint="default"/>
      </w:rPr>
    </w:lvl>
    <w:lvl w:ilvl="6" w:tplc="81F04A70" w:tentative="1">
      <w:start w:val="1"/>
      <w:numFmt w:val="bullet"/>
      <w:lvlText w:val="•"/>
      <w:lvlJc w:val="left"/>
      <w:pPr>
        <w:tabs>
          <w:tab w:val="num" w:pos="5040"/>
        </w:tabs>
        <w:ind w:left="5040" w:hanging="360"/>
      </w:pPr>
      <w:rPr>
        <w:rFonts w:ascii="Arial" w:hAnsi="Arial" w:hint="default"/>
      </w:rPr>
    </w:lvl>
    <w:lvl w:ilvl="7" w:tplc="192E5216" w:tentative="1">
      <w:start w:val="1"/>
      <w:numFmt w:val="bullet"/>
      <w:lvlText w:val="•"/>
      <w:lvlJc w:val="left"/>
      <w:pPr>
        <w:tabs>
          <w:tab w:val="num" w:pos="5760"/>
        </w:tabs>
        <w:ind w:left="5760" w:hanging="360"/>
      </w:pPr>
      <w:rPr>
        <w:rFonts w:ascii="Arial" w:hAnsi="Arial" w:hint="default"/>
      </w:rPr>
    </w:lvl>
    <w:lvl w:ilvl="8" w:tplc="711E02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8D"/>
    <w:rsid w:val="00286709"/>
    <w:rsid w:val="002939B7"/>
    <w:rsid w:val="002A434D"/>
    <w:rsid w:val="004B4064"/>
    <w:rsid w:val="005E2766"/>
    <w:rsid w:val="00630126"/>
    <w:rsid w:val="00705862"/>
    <w:rsid w:val="0075170F"/>
    <w:rsid w:val="00904B22"/>
    <w:rsid w:val="00957F04"/>
    <w:rsid w:val="009C2BDE"/>
    <w:rsid w:val="009D1F8D"/>
    <w:rsid w:val="00C73D29"/>
    <w:rsid w:val="00D924DB"/>
    <w:rsid w:val="00DD58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8D"/>
    <w:pPr>
      <w:spacing w:after="0" w:line="240" w:lineRule="auto"/>
    </w:pPr>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9D1F8D"/>
    <w:rPr>
      <w:color w:val="0000FF"/>
      <w:u w:val="single"/>
    </w:rPr>
  </w:style>
  <w:style w:type="paragraph" w:styleId="Paragraphedeliste">
    <w:name w:val="List Paragraph"/>
    <w:basedOn w:val="Normal"/>
    <w:qFormat/>
    <w:rsid w:val="009D1F8D"/>
    <w:pPr>
      <w:ind w:left="720"/>
      <w:contextualSpacing/>
    </w:pPr>
  </w:style>
  <w:style w:type="paragraph" w:styleId="Textedebulles">
    <w:name w:val="Balloon Text"/>
    <w:basedOn w:val="Normal"/>
    <w:link w:val="TextedebullesCar"/>
    <w:uiPriority w:val="99"/>
    <w:semiHidden/>
    <w:unhideWhenUsed/>
    <w:rsid w:val="009D1F8D"/>
    <w:rPr>
      <w:rFonts w:ascii="Tahoma" w:hAnsi="Tahoma" w:cs="Tahoma"/>
      <w:sz w:val="16"/>
      <w:szCs w:val="16"/>
    </w:rPr>
  </w:style>
  <w:style w:type="character" w:customStyle="1" w:styleId="TextedebullesCar">
    <w:name w:val="Texte de bulles Car"/>
    <w:basedOn w:val="Policepardfaut"/>
    <w:link w:val="Textedebulles"/>
    <w:uiPriority w:val="99"/>
    <w:semiHidden/>
    <w:rsid w:val="009D1F8D"/>
    <w:rPr>
      <w:rFonts w:ascii="Tahoma" w:eastAsia="Calibri" w:hAnsi="Tahoma" w:cs="Tahoma"/>
      <w:sz w:val="16"/>
      <w:szCs w:val="16"/>
      <w:lang w:eastAsia="fr-FR"/>
    </w:rPr>
  </w:style>
  <w:style w:type="character" w:customStyle="1" w:styleId="apple-style-span">
    <w:name w:val="apple-style-span"/>
    <w:basedOn w:val="Policepardfaut"/>
    <w:rsid w:val="00286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8D"/>
    <w:pPr>
      <w:spacing w:after="0" w:line="240" w:lineRule="auto"/>
    </w:pPr>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9D1F8D"/>
    <w:rPr>
      <w:color w:val="0000FF"/>
      <w:u w:val="single"/>
    </w:rPr>
  </w:style>
  <w:style w:type="paragraph" w:styleId="Paragraphedeliste">
    <w:name w:val="List Paragraph"/>
    <w:basedOn w:val="Normal"/>
    <w:qFormat/>
    <w:rsid w:val="009D1F8D"/>
    <w:pPr>
      <w:ind w:left="720"/>
      <w:contextualSpacing/>
    </w:pPr>
  </w:style>
  <w:style w:type="paragraph" w:styleId="Textedebulles">
    <w:name w:val="Balloon Text"/>
    <w:basedOn w:val="Normal"/>
    <w:link w:val="TextedebullesCar"/>
    <w:uiPriority w:val="99"/>
    <w:semiHidden/>
    <w:unhideWhenUsed/>
    <w:rsid w:val="009D1F8D"/>
    <w:rPr>
      <w:rFonts w:ascii="Tahoma" w:hAnsi="Tahoma" w:cs="Tahoma"/>
      <w:sz w:val="16"/>
      <w:szCs w:val="16"/>
    </w:rPr>
  </w:style>
  <w:style w:type="character" w:customStyle="1" w:styleId="TextedebullesCar">
    <w:name w:val="Texte de bulles Car"/>
    <w:basedOn w:val="Policepardfaut"/>
    <w:link w:val="Textedebulles"/>
    <w:uiPriority w:val="99"/>
    <w:semiHidden/>
    <w:rsid w:val="009D1F8D"/>
    <w:rPr>
      <w:rFonts w:ascii="Tahoma" w:eastAsia="Calibri" w:hAnsi="Tahoma" w:cs="Tahoma"/>
      <w:sz w:val="16"/>
      <w:szCs w:val="16"/>
      <w:lang w:eastAsia="fr-FR"/>
    </w:rPr>
  </w:style>
  <w:style w:type="character" w:customStyle="1" w:styleId="apple-style-span">
    <w:name w:val="apple-style-span"/>
    <w:basedOn w:val="Policepardfaut"/>
    <w:rsid w:val="0028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083">
      <w:bodyDiv w:val="1"/>
      <w:marLeft w:val="0"/>
      <w:marRight w:val="0"/>
      <w:marTop w:val="0"/>
      <w:marBottom w:val="0"/>
      <w:divBdr>
        <w:top w:val="none" w:sz="0" w:space="0" w:color="auto"/>
        <w:left w:val="none" w:sz="0" w:space="0" w:color="auto"/>
        <w:bottom w:val="none" w:sz="0" w:space="0" w:color="auto"/>
        <w:right w:val="none" w:sz="0" w:space="0" w:color="auto"/>
      </w:divBdr>
      <w:divsChild>
        <w:div w:id="533156376">
          <w:marLeft w:val="446"/>
          <w:marRight w:val="0"/>
          <w:marTop w:val="0"/>
          <w:marBottom w:val="0"/>
          <w:divBdr>
            <w:top w:val="none" w:sz="0" w:space="0" w:color="auto"/>
            <w:left w:val="none" w:sz="0" w:space="0" w:color="auto"/>
            <w:bottom w:val="none" w:sz="0" w:space="0" w:color="auto"/>
            <w:right w:val="none" w:sz="0" w:space="0" w:color="auto"/>
          </w:divBdr>
        </w:div>
      </w:divsChild>
    </w:div>
    <w:div w:id="978190905">
      <w:bodyDiv w:val="1"/>
      <w:marLeft w:val="0"/>
      <w:marRight w:val="0"/>
      <w:marTop w:val="0"/>
      <w:marBottom w:val="0"/>
      <w:divBdr>
        <w:top w:val="none" w:sz="0" w:space="0" w:color="auto"/>
        <w:left w:val="none" w:sz="0" w:space="0" w:color="auto"/>
        <w:bottom w:val="none" w:sz="0" w:space="0" w:color="auto"/>
        <w:right w:val="none" w:sz="0" w:space="0" w:color="auto"/>
      </w:divBdr>
      <w:divsChild>
        <w:div w:id="697702129">
          <w:marLeft w:val="446"/>
          <w:marRight w:val="0"/>
          <w:marTop w:val="0"/>
          <w:marBottom w:val="0"/>
          <w:divBdr>
            <w:top w:val="none" w:sz="0" w:space="0" w:color="auto"/>
            <w:left w:val="none" w:sz="0" w:space="0" w:color="auto"/>
            <w:bottom w:val="none" w:sz="0" w:space="0" w:color="auto"/>
            <w:right w:val="none" w:sz="0" w:space="0" w:color="auto"/>
          </w:divBdr>
        </w:div>
      </w:divsChild>
    </w:div>
    <w:div w:id="1184855993">
      <w:bodyDiv w:val="1"/>
      <w:marLeft w:val="0"/>
      <w:marRight w:val="0"/>
      <w:marTop w:val="0"/>
      <w:marBottom w:val="0"/>
      <w:divBdr>
        <w:top w:val="none" w:sz="0" w:space="0" w:color="auto"/>
        <w:left w:val="none" w:sz="0" w:space="0" w:color="auto"/>
        <w:bottom w:val="none" w:sz="0" w:space="0" w:color="auto"/>
        <w:right w:val="none" w:sz="0" w:space="0" w:color="auto"/>
      </w:divBdr>
    </w:div>
    <w:div w:id="1497259389">
      <w:bodyDiv w:val="1"/>
      <w:marLeft w:val="0"/>
      <w:marRight w:val="0"/>
      <w:marTop w:val="0"/>
      <w:marBottom w:val="0"/>
      <w:divBdr>
        <w:top w:val="none" w:sz="0" w:space="0" w:color="auto"/>
        <w:left w:val="none" w:sz="0" w:space="0" w:color="auto"/>
        <w:bottom w:val="none" w:sz="0" w:space="0" w:color="auto"/>
        <w:right w:val="none" w:sz="0" w:space="0" w:color="auto"/>
      </w:divBdr>
      <w:divsChild>
        <w:div w:id="6966148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icom.museum/fileadmin/user_upload/images/Redlists/West_Africa/RL_AFO_FR_PAG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Maroun</dc:creator>
  <cp:lastModifiedBy>Johnny Maroun</cp:lastModifiedBy>
  <cp:revision>5</cp:revision>
  <dcterms:created xsi:type="dcterms:W3CDTF">2017-06-22T08:41:00Z</dcterms:created>
  <dcterms:modified xsi:type="dcterms:W3CDTF">2017-06-29T14:37:00Z</dcterms:modified>
</cp:coreProperties>
</file>